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FE" w14:textId="74E7BB8B" w:rsidR="00A36FB2" w:rsidRDefault="00A36FB2" w:rsidP="00F242C0">
      <w:pPr>
        <w:pStyle w:val="booktitle"/>
        <w:spacing w:before="1080"/>
        <w:ind w:left="0"/>
        <w:rPr>
          <w:rFonts w:cs="Arial"/>
        </w:rPr>
      </w:pPr>
      <w:r w:rsidRPr="00081F93">
        <w:rPr>
          <w:rFonts w:cs="Arial"/>
          <w:color w:val="333333"/>
          <w:sz w:val="40"/>
        </w:rPr>
        <w:t xml:space="preserve">Payment Card Industry (PCI) </w:t>
      </w:r>
      <w:r w:rsidRPr="00081F93">
        <w:rPr>
          <w:rFonts w:cs="Arial"/>
          <w:color w:val="333333"/>
          <w:sz w:val="40"/>
        </w:rPr>
        <w:br/>
      </w:r>
      <w:r w:rsidR="00F6130F">
        <w:rPr>
          <w:rFonts w:cs="Arial"/>
        </w:rPr>
        <w:t>Data Security Standard</w:t>
      </w:r>
    </w:p>
    <w:p w14:paraId="484021C6" w14:textId="77777777" w:rsidR="00F6130F" w:rsidRDefault="00F6130F" w:rsidP="00D9622B">
      <w:pPr>
        <w:pStyle w:val="booktitle"/>
        <w:spacing w:before="1080" w:after="720"/>
        <w:ind w:left="0"/>
        <w:rPr>
          <w:rFonts w:cs="Arial"/>
          <w:sz w:val="48"/>
        </w:rPr>
      </w:pPr>
    </w:p>
    <w:p w14:paraId="652B85F6" w14:textId="69AEC188" w:rsidR="00A36FB2" w:rsidRPr="002C5E7B" w:rsidRDefault="00F6130F" w:rsidP="00AB33BC">
      <w:pPr>
        <w:pStyle w:val="Subtitle1"/>
        <w:pBdr>
          <w:top w:val="single" w:sz="6" w:space="1" w:color="333333"/>
        </w:pBdr>
        <w:spacing w:before="2000" w:after="0"/>
        <w:ind w:left="0" w:right="2790"/>
        <w:jc w:val="left"/>
        <w:outlineLvl w:val="0"/>
      </w:pPr>
      <w:r w:rsidRPr="00D9622B">
        <w:t xml:space="preserve">Attestation of Compliance for </w:t>
      </w:r>
      <w:r w:rsidR="00026FE2" w:rsidRPr="00D9622B">
        <w:br/>
      </w:r>
      <w:r w:rsidR="00026FE2">
        <w:rPr>
          <w:rFonts w:ascii="Arial" w:eastAsia="MS Mincho" w:hAnsi="Arial" w:cs="Arial"/>
          <w:szCs w:val="40"/>
        </w:rPr>
        <w:t>Self-Assessment Questionnaire A</w:t>
      </w:r>
      <w:r w:rsidR="007F410C">
        <w:rPr>
          <w:rFonts w:ascii="Arial" w:eastAsia="MS Mincho" w:hAnsi="Arial" w:cs="Arial"/>
          <w:szCs w:val="40"/>
        </w:rPr>
        <w:t xml:space="preserve"> </w:t>
      </w:r>
    </w:p>
    <w:p w14:paraId="51BF19AA" w14:textId="5A6E21E0" w:rsidR="00A36FB2" w:rsidRPr="008D03E9" w:rsidRDefault="00A36FB2" w:rsidP="00F242C0">
      <w:pPr>
        <w:pStyle w:val="Subtitle1"/>
        <w:pBdr>
          <w:top w:val="none" w:sz="0" w:space="0" w:color="auto"/>
        </w:pBdr>
        <w:spacing w:before="240" w:after="100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8D03E9" w:rsidSect="00AB33BC"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 w:rsidRPr="008D03E9">
        <w:rPr>
          <w:rFonts w:ascii="Arial" w:hAnsi="Arial"/>
          <w:sz w:val="28"/>
        </w:rPr>
        <w:t>Version</w:t>
      </w:r>
      <w:r w:rsidR="00F4176D">
        <w:rPr>
          <w:rFonts w:ascii="Arial" w:hAnsi="Arial"/>
          <w:sz w:val="28"/>
        </w:rPr>
        <w:t xml:space="preserve"> 3.0</w:t>
      </w:r>
      <w:r w:rsidRPr="008D03E9">
        <w:rPr>
          <w:rFonts w:ascii="Arial" w:hAnsi="Arial"/>
          <w:sz w:val="28"/>
        </w:rPr>
        <w:br/>
      </w:r>
      <w:r w:rsidR="009212F4">
        <w:rPr>
          <w:rFonts w:ascii="Arial" w:hAnsi="Arial"/>
          <w:b w:val="0"/>
          <w:sz w:val="24"/>
        </w:rPr>
        <w:t xml:space="preserve">February </w:t>
      </w:r>
      <w:r w:rsidR="00912D90">
        <w:rPr>
          <w:rFonts w:ascii="Arial" w:hAnsi="Arial"/>
          <w:b w:val="0"/>
          <w:sz w:val="24"/>
        </w:rPr>
        <w:t>2014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381264604"/>
      <w:bookmarkStart w:id="2" w:name="_Toc275753517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0"/>
      <w:bookmarkEnd w:id="1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5D4F78AC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20023C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20023C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bookmarkEnd w:id="3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D2D2AD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C7DB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ISA Name(s) (if applicable):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F284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9D78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AD5F4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20023C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14:paraId="58558AC9" w14:textId="77777777" w:rsidTr="005133FC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5133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5133FC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A751CD">
              <w:rPr>
                <w:sz w:val="19"/>
                <w:szCs w:val="19"/>
              </w:rPr>
            </w:r>
            <w:r w:rsidR="00A751CD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5133FC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5133F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4" w:name="OLE_LINK3"/>
            <w:bookmarkStart w:id="5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5133F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6333062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29"/>
        <w:gridCol w:w="5131"/>
      </w:tblGrid>
      <w:tr w:rsidR="005A1183" w:rsidRPr="00FD6FE3" w14:paraId="61FF005B" w14:textId="77777777" w:rsidTr="009212F4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EC0AA2" w:rsidRPr="00DF6454" w14:paraId="693560EC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B937A" w14:textId="2DBB98D9" w:rsidR="00EC0AA2" w:rsidRPr="00004E20" w:rsidRDefault="00004E20" w:rsidP="00751956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="00EC0AA2" w:rsidRPr="00004E20">
              <w:rPr>
                <w:rFonts w:cs="Arial"/>
                <w:bCs/>
                <w:sz w:val="19"/>
                <w:szCs w:val="19"/>
              </w:rPr>
              <w:t>locations included in</w:t>
            </w:r>
            <w:r w:rsidR="00751956">
              <w:rPr>
                <w:rFonts w:cs="Arial"/>
                <w:bCs/>
                <w:sz w:val="19"/>
                <w:szCs w:val="19"/>
              </w:rPr>
              <w:t xml:space="preserve"> the</w:t>
            </w:r>
            <w:r w:rsidR="00EC0AA2" w:rsidRPr="00004E20">
              <w:rPr>
                <w:rFonts w:cs="Arial"/>
                <w:bCs/>
                <w:sz w:val="19"/>
                <w:szCs w:val="19"/>
              </w:rPr>
              <w:t xml:space="preserve"> PCI DSS review (for example, retail outlets, corporate offices, data centers, call centers, etc.) </w:t>
            </w:r>
          </w:p>
        </w:tc>
      </w:tr>
      <w:tr w:rsidR="00EC0AA2" w:rsidRPr="00704A99" w14:paraId="4517B484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42104" w14:textId="77777777" w:rsidR="00EC0AA2" w:rsidRPr="00704A99" w:rsidRDefault="00EC0AA2" w:rsidP="00704A9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0363C7" w14:textId="77777777" w:rsidR="00EC0AA2" w:rsidRPr="00704A99" w:rsidRDefault="00EC0AA2" w:rsidP="00704A9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C203E9" w:rsidRPr="00704A99" w14:paraId="5FD84266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FA06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BECA08F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5C3ABD5D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82298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D3C50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5ADC8D58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8BDE6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E29F658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058AF03C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76114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C41CA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C0AA2" w:rsidRPr="00704A99" w14:paraId="3144AA4F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50305" w14:textId="77777777" w:rsidR="00EC0AA2" w:rsidRPr="00704A99" w:rsidRDefault="00EC0AA2" w:rsidP="00914EDF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01B334" w14:textId="77777777" w:rsidR="00EC0AA2" w:rsidRPr="00704A99" w:rsidRDefault="00EC0AA2" w:rsidP="00914EDF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C0AA2" w:rsidRPr="00704A99" w14:paraId="0325BA67" w14:textId="77777777" w:rsidTr="009212F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65910" w14:textId="77777777" w:rsidR="00EC0AA2" w:rsidRPr="00704A99" w:rsidRDefault="00EC0AA2" w:rsidP="00914EDF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5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D395C6" w14:textId="77777777" w:rsidR="00EC0AA2" w:rsidRPr="00704A99" w:rsidRDefault="00EC0AA2" w:rsidP="00914EDF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47927AA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9"/>
        <w:gridCol w:w="1511"/>
        <w:gridCol w:w="2072"/>
        <w:gridCol w:w="2428"/>
      </w:tblGrid>
      <w:tr w:rsidR="0068672D" w:rsidRPr="00FD6FE3" w14:paraId="57599B81" w14:textId="77777777" w:rsidTr="00A62BF8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4"/>
          <w:bookmarkEnd w:id="5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5133FC" w:rsidRPr="00004E20" w14:paraId="3E163405" w14:textId="77777777" w:rsidTr="00A62BF8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059AF3" w14:textId="384076B5" w:rsidR="005133FC" w:rsidRDefault="005133FC" w:rsidP="005133FC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14:paraId="1E1A3834" w14:textId="77777777" w:rsidTr="00A62BF8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10E3872A"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C203E9" w:rsidRPr="00704A99" w14:paraId="2D31335B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A62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520"/>
        <w:gridCol w:w="1170"/>
      </w:tblGrid>
      <w:tr w:rsidR="00BA32E0" w:rsidRPr="00FD6FE3" w14:paraId="0A08E321" w14:textId="77777777" w:rsidTr="009212F4">
        <w:tc>
          <w:tcPr>
            <w:tcW w:w="9360" w:type="dxa"/>
            <w:gridSpan w:val="3"/>
            <w:shd w:val="clear" w:color="C0C0C0" w:fill="E0E0E0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9212F4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14:paraId="6C15E649" w14:textId="17E2AF72" w:rsidR="0004672B" w:rsidRPr="00174394" w:rsidRDefault="008147DA" w:rsidP="0004672B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04672B" w:rsidRPr="00174394">
              <w:rPr>
                <w:sz w:val="19"/>
                <w:szCs w:val="19"/>
              </w:rPr>
              <w:t xml:space="preserve"> </w:t>
            </w:r>
          </w:p>
          <w:p w14:paraId="1F307F8C" w14:textId="77777777" w:rsidR="0004672B" w:rsidRPr="00174394" w:rsidRDefault="0004672B" w:rsidP="0004672B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2299EF75" w14:textId="77777777" w:rsidR="0004672B" w:rsidRPr="00174394" w:rsidRDefault="0004672B" w:rsidP="0004672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06842DEE" w:rsidR="006F560F" w:rsidRPr="00004E20" w:rsidRDefault="0004672B" w:rsidP="0004672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9212F4">
        <w:tblPrEx>
          <w:tblLook w:val="04A0" w:firstRow="1" w:lastRow="0" w:firstColumn="1" w:lastColumn="0" w:noHBand="0" w:noVBand="1"/>
        </w:tblPrEx>
        <w:tc>
          <w:tcPr>
            <w:tcW w:w="8190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170" w:type="dxa"/>
            <w:shd w:val="clear" w:color="auto" w:fill="auto"/>
          </w:tcPr>
          <w:p w14:paraId="0D3BAE60" w14:textId="77777777" w:rsidR="00AC3F5E" w:rsidRPr="00004E20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bCs/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</w:p>
          <w:p w14:paraId="468725FA" w14:textId="459D40BD" w:rsidR="00E24A65" w:rsidRPr="00004E20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bCs/>
                <w:sz w:val="19"/>
                <w:szCs w:val="19"/>
              </w:rPr>
            </w:r>
            <w:r w:rsidR="00A751CD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050"/>
        <w:gridCol w:w="1170"/>
      </w:tblGrid>
      <w:tr w:rsidR="00BA32E0" w:rsidRPr="00FD6FE3" w14:paraId="27E49B55" w14:textId="77777777" w:rsidTr="009212F4">
        <w:tc>
          <w:tcPr>
            <w:tcW w:w="9360" w:type="dxa"/>
            <w:gridSpan w:val="3"/>
            <w:shd w:val="clear" w:color="C0C0C0" w:fill="E0E0E0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73021A" w:rsidRPr="008147DA" w14:paraId="3328EA5A" w14:textId="77777777" w:rsidTr="009212F4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8190" w:type="dxa"/>
            <w:gridSpan w:val="2"/>
          </w:tcPr>
          <w:p w14:paraId="7A37DCF5" w14:textId="752FD025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170" w:type="dxa"/>
          </w:tcPr>
          <w:p w14:paraId="3CC95E6A" w14:textId="77777777" w:rsidR="0073021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 </w:t>
            </w:r>
          </w:p>
          <w:p w14:paraId="4C2499B1" w14:textId="1437D47D" w:rsidR="0073021A" w:rsidRPr="008147DA" w:rsidRDefault="0073021A" w:rsidP="009212F4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1C7B14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3"/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1C7B1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  <w:shd w:val="clear" w:color="auto" w:fill="auto"/>
          </w:tcPr>
          <w:p w14:paraId="43B34A5F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03909E2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9212F4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1C7B14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  <w:tcBorders>
              <w:bottom w:val="single" w:sz="4" w:space="0" w:color="808080" w:themeColor="background1" w:themeShade="80"/>
            </w:tcBorders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808080" w:themeColor="background1" w:themeShade="80"/>
            </w:tcBorders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9212F4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0" w:type="auto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F87636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0E0E0"/>
          </w:tcPr>
          <w:p w14:paraId="30538F70" w14:textId="2A5084D7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CB6037">
              <w:rPr>
                <w:rFonts w:cs="Arial"/>
                <w:b/>
                <w:szCs w:val="20"/>
              </w:rPr>
              <w:t>A</w:t>
            </w:r>
          </w:p>
        </w:tc>
      </w:tr>
      <w:tr w:rsidR="00B54AFA" w:rsidRPr="007922E8" w14:paraId="4C08DEE2" w14:textId="77777777" w:rsidTr="00F87636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922E8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B54AFA" w:rsidRPr="007922E8" w14:paraId="555E38F9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6826D278" w:rsidR="00B54AFA" w:rsidRPr="007922E8" w:rsidRDefault="00B54AFA" w:rsidP="00CB6037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sz w:val="19"/>
                <w:szCs w:val="19"/>
              </w:rPr>
              <w:t xml:space="preserve">Merchant </w:t>
            </w:r>
            <w:r w:rsidR="00CB6037" w:rsidRPr="007922E8">
              <w:rPr>
                <w:rFonts w:cs="Arial"/>
                <w:sz w:val="19"/>
                <w:szCs w:val="19"/>
              </w:rPr>
              <w:t>accepts only card-not-present (e-commerce or mail/telephone-order) transactions</w:t>
            </w:r>
            <w:r w:rsidRPr="007922E8">
              <w:rPr>
                <w:sz w:val="19"/>
                <w:szCs w:val="19"/>
              </w:rPr>
              <w:t>);</w:t>
            </w:r>
          </w:p>
        </w:tc>
      </w:tr>
      <w:tr w:rsidR="00B54AFA" w:rsidRPr="007922E8" w14:paraId="1AD4474F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7"/>
            <w:r w:rsidRPr="007922E8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16CB165F" w:rsidR="00B54AFA" w:rsidRPr="007922E8" w:rsidRDefault="00CB6037" w:rsidP="002E193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All payment acceptance and processing are entirely outsourced to PCI DSS validated third-party service providers</w:t>
            </w:r>
            <w:r w:rsidR="00B54AFA" w:rsidRPr="007922E8">
              <w:rPr>
                <w:sz w:val="19"/>
                <w:szCs w:val="19"/>
              </w:rPr>
              <w:t>;</w:t>
            </w:r>
          </w:p>
        </w:tc>
      </w:tr>
      <w:tr w:rsidR="00B54AFA" w:rsidRPr="007922E8" w14:paraId="1E90E050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6C67" w14:textId="10E7708F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B88ED" w14:textId="694D585E" w:rsidR="00B54AFA" w:rsidRPr="007922E8" w:rsidRDefault="00CB6037" w:rsidP="00B54AFA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Merchant has no direct control of the manner in which cardholder data is captured, processed, transmitted, or stored</w:t>
            </w:r>
            <w:r w:rsidR="00B54AFA" w:rsidRPr="007922E8">
              <w:rPr>
                <w:sz w:val="19"/>
                <w:szCs w:val="19"/>
              </w:rPr>
              <w:t>;</w:t>
            </w:r>
          </w:p>
        </w:tc>
      </w:tr>
      <w:tr w:rsidR="00B54AFA" w:rsidRPr="007922E8" w14:paraId="4C38B5BA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7922E8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0EF8F131" w:rsidR="00B54AFA" w:rsidRPr="007922E8" w:rsidRDefault="00B54AFA" w:rsidP="007922E8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922E8">
              <w:rPr>
                <w:sz w:val="19"/>
                <w:szCs w:val="19"/>
              </w:rPr>
              <w:t xml:space="preserve">Merchant </w:t>
            </w:r>
            <w:r w:rsidR="00CB6037" w:rsidRPr="007922E8">
              <w:rPr>
                <w:rFonts w:cs="Arial"/>
                <w:sz w:val="19"/>
                <w:szCs w:val="19"/>
              </w:rPr>
              <w:t xml:space="preserve">does not electronically store, process, or transmit any cardholder data on </w:t>
            </w:r>
            <w:r w:rsidR="00541CA2" w:rsidRPr="007922E8">
              <w:rPr>
                <w:rFonts w:cs="Arial"/>
                <w:sz w:val="19"/>
                <w:szCs w:val="19"/>
              </w:rPr>
              <w:t xml:space="preserve">merchant </w:t>
            </w:r>
            <w:r w:rsidR="00CB6037" w:rsidRPr="007922E8">
              <w:rPr>
                <w:rFonts w:cs="Arial"/>
                <w:sz w:val="19"/>
                <w:szCs w:val="19"/>
              </w:rPr>
              <w:t>systems or premises, but relies entirely on a third party(s) to handle all these functions</w:t>
            </w:r>
            <w:r w:rsidR="007922E8">
              <w:rPr>
                <w:sz w:val="19"/>
                <w:szCs w:val="19"/>
              </w:rPr>
              <w:t>;</w:t>
            </w:r>
          </w:p>
        </w:tc>
      </w:tr>
      <w:tr w:rsidR="007A2E76" w:rsidRPr="007922E8" w14:paraId="231C1362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7922E8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5773423C" w:rsidR="007A2E76" w:rsidRPr="007922E8" w:rsidRDefault="00CB6037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 xml:space="preserve">Merchant has confirmed that all third party(s) handling acceptance, storage, processing, and/or transmission of cardholder data are PCI DSS compliant; </w:t>
            </w:r>
            <w:r w:rsidRPr="007922E8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CB6037" w:rsidRPr="007922E8" w14:paraId="2E8587B9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2E1E5" w14:textId="282F3072" w:rsidR="00CB6037" w:rsidRPr="007922E8" w:rsidRDefault="00CB6037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80FD62" w14:textId="2079C878" w:rsidR="00CB6037" w:rsidRPr="007922E8" w:rsidRDefault="00CB6037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Merchant retains only paper reports or receipts with cardholder data, and these documents are not received electronically.</w:t>
            </w:r>
          </w:p>
        </w:tc>
      </w:tr>
      <w:tr w:rsidR="00CB6037" w:rsidRPr="007922E8" w14:paraId="3A321D0C" w14:textId="77777777" w:rsidTr="00F8763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CB965" w14:textId="35624A59" w:rsidR="00CB6037" w:rsidRPr="007922E8" w:rsidRDefault="00CB6037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B0C65D4" w14:textId="77777777" w:rsidR="00CB6037" w:rsidRPr="007922E8" w:rsidRDefault="00CB6037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i/>
                <w:sz w:val="19"/>
                <w:szCs w:val="19"/>
              </w:rPr>
            </w:pPr>
            <w:r w:rsidRPr="007922E8">
              <w:rPr>
                <w:i/>
                <w:sz w:val="19"/>
                <w:szCs w:val="19"/>
              </w:rPr>
              <w:t xml:space="preserve">Additionally, for e-commerce channels: </w:t>
            </w:r>
          </w:p>
          <w:p w14:paraId="456120BF" w14:textId="2FBBC7FA" w:rsidR="00CB6037" w:rsidRPr="007922E8" w:rsidRDefault="00CB6037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922E8">
              <w:rPr>
                <w:rFonts w:cs="Arial"/>
                <w:sz w:val="19"/>
                <w:szCs w:val="19"/>
              </w:rPr>
              <w:t>The entirety of all payment pages delivered to the consumer’s browser originates directly from a third-party PCI DSS validated service provider(s).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514CA4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6CDDE374" w14:textId="47411E94" w:rsidR="00514CA4" w:rsidRDefault="00514CA4" w:rsidP="00514CA4">
      <w:pPr>
        <w:pStyle w:val="Headingrule"/>
        <w:spacing w:before="120"/>
      </w:pPr>
      <w:bookmarkStart w:id="9" w:name="_Toc377997591"/>
      <w:bookmarkStart w:id="10" w:name="_Toc381264612"/>
      <w:bookmarkEnd w:id="2"/>
      <w:r>
        <w:lastRenderedPageBreak/>
        <w:t>Section 2:</w:t>
      </w:r>
      <w:r>
        <w:tab/>
        <w:t>Self-Assessment Questionnaire A</w:t>
      </w:r>
    </w:p>
    <w:p w14:paraId="42D02C52" w14:textId="7B870EB4" w:rsidR="00514CA4" w:rsidRPr="00514CA4" w:rsidRDefault="00514CA4" w:rsidP="00514CA4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20"/>
        <w:gridCol w:w="3330"/>
      </w:tblGrid>
      <w:tr w:rsidR="00514CA4" w:rsidRPr="00185704" w14:paraId="02861D6C" w14:textId="77777777" w:rsidTr="004B6E64">
        <w:tc>
          <w:tcPr>
            <w:tcW w:w="6120" w:type="dxa"/>
          </w:tcPr>
          <w:p w14:paraId="13041D30" w14:textId="77777777" w:rsidR="00514CA4" w:rsidRPr="0006033D" w:rsidRDefault="00514CA4" w:rsidP="00A31892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3330" w:type="dxa"/>
          </w:tcPr>
          <w:p w14:paraId="1FE07F73" w14:textId="77777777" w:rsidR="00514CA4" w:rsidRPr="0018570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18570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704">
              <w:rPr>
                <w:i/>
                <w:sz w:val="18"/>
                <w:szCs w:val="20"/>
              </w:rPr>
              <w:instrText xml:space="preserve"> FORMTEXT </w:instrText>
            </w:r>
            <w:r w:rsidRPr="00185704">
              <w:rPr>
                <w:i/>
                <w:sz w:val="18"/>
                <w:szCs w:val="20"/>
              </w:rPr>
            </w:r>
            <w:r w:rsidRPr="00185704"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 w:rsidRPr="0018570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514CA4" w:rsidRPr="007A1084" w14:paraId="240C2429" w14:textId="77777777" w:rsidTr="004B6E64">
        <w:tc>
          <w:tcPr>
            <w:tcW w:w="6120" w:type="dxa"/>
          </w:tcPr>
          <w:p w14:paraId="6E236603" w14:textId="77777777" w:rsidR="00514CA4" w:rsidRPr="007A1084" w:rsidRDefault="00514CA4" w:rsidP="00A31892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3330" w:type="dxa"/>
            <w:vAlign w:val="center"/>
          </w:tcPr>
          <w:p w14:paraId="5F0D809E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751CD">
              <w:rPr>
                <w:i/>
                <w:sz w:val="18"/>
                <w:szCs w:val="20"/>
              </w:rPr>
            </w:r>
            <w:r w:rsidR="00A751CD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751CD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514CA4" w:rsidRPr="007A1084" w14:paraId="3C68F610" w14:textId="77777777" w:rsidTr="004B6E64">
        <w:tc>
          <w:tcPr>
            <w:tcW w:w="6120" w:type="dxa"/>
          </w:tcPr>
          <w:p w14:paraId="00D40EEB" w14:textId="2735EF3E" w:rsidR="00514CA4" w:rsidRPr="007A1084" w:rsidRDefault="00514CA4" w:rsidP="00A31892">
            <w:pPr>
              <w:spacing w:after="60"/>
            </w:pPr>
            <w:r>
              <w:t xml:space="preserve">Were any requirements in the </w:t>
            </w:r>
            <w:r w:rsidR="0014618E">
              <w:t xml:space="preserve">SAQ </w:t>
            </w:r>
            <w:r>
              <w:t>identified as being not applicable (N/A)?</w:t>
            </w:r>
          </w:p>
        </w:tc>
        <w:tc>
          <w:tcPr>
            <w:tcW w:w="3330" w:type="dxa"/>
            <w:vAlign w:val="center"/>
          </w:tcPr>
          <w:p w14:paraId="624CEE90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751CD">
              <w:rPr>
                <w:i/>
                <w:sz w:val="18"/>
                <w:szCs w:val="20"/>
              </w:rPr>
            </w:r>
            <w:r w:rsidR="00A751CD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751CD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514CA4" w:rsidRPr="007A1084" w14:paraId="153161A8" w14:textId="77777777" w:rsidTr="004B6E64">
        <w:tc>
          <w:tcPr>
            <w:tcW w:w="6120" w:type="dxa"/>
          </w:tcPr>
          <w:p w14:paraId="0EE743C1" w14:textId="77777777" w:rsidR="00514CA4" w:rsidRDefault="00514CA4" w:rsidP="00A3189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3330" w:type="dxa"/>
            <w:vAlign w:val="center"/>
          </w:tcPr>
          <w:p w14:paraId="591EFF34" w14:textId="77777777" w:rsidR="00514CA4" w:rsidRPr="007A1084" w:rsidRDefault="00514CA4" w:rsidP="00A3189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751CD">
              <w:rPr>
                <w:i/>
                <w:sz w:val="18"/>
                <w:szCs w:val="20"/>
              </w:rPr>
            </w:r>
            <w:r w:rsidR="00A751CD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751CD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08EDCA28" w14:textId="77777777" w:rsidR="00514CA4" w:rsidRDefault="00514CA4" w:rsidP="00514CA4">
      <w:pPr>
        <w:pStyle w:val="Headingrule"/>
        <w:pBdr>
          <w:bottom w:val="none" w:sz="0" w:space="0" w:color="auto"/>
        </w:pBdr>
        <w:spacing w:before="120"/>
      </w:pPr>
    </w:p>
    <w:p w14:paraId="7EE29958" w14:textId="77777777" w:rsidR="00514CA4" w:rsidRDefault="00514CA4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4D569D9E" w14:textId="25711941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9"/>
      <w:bookmarkEnd w:id="10"/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564700">
        <w:trPr>
          <w:cantSplit/>
          <w:trHeight w:val="353"/>
        </w:trPr>
        <w:tc>
          <w:tcPr>
            <w:tcW w:w="9450" w:type="dxa"/>
            <w:shd w:val="clear" w:color="auto" w:fill="E0E0E0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1610149D" w14:textId="41AF772E" w:rsidR="00FB4992" w:rsidRPr="00EE48D9" w:rsidRDefault="00FB4992" w:rsidP="00FB4992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noted in the </w:t>
      </w:r>
      <w:r w:rsidR="00265B93">
        <w:rPr>
          <w:rFonts w:cs="Arial"/>
          <w:sz w:val="19"/>
          <w:szCs w:val="19"/>
        </w:rPr>
        <w:t>SAQ A</w:t>
      </w:r>
      <w:r w:rsidRPr="00EE48D9">
        <w:rPr>
          <w:rFonts w:cs="Arial"/>
          <w:sz w:val="19"/>
          <w:szCs w:val="19"/>
        </w:rPr>
        <w:t xml:space="preserve"> dated </w:t>
      </w:r>
      <w:r w:rsidRPr="00EE48D9">
        <w:rPr>
          <w:rFonts w:cs="Arial"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EE48D9">
        <w:rPr>
          <w:rFonts w:cs="Arial"/>
          <w:i/>
          <w:sz w:val="19"/>
          <w:szCs w:val="19"/>
        </w:rPr>
        <w:instrText xml:space="preserve"> FORMTEXT </w:instrText>
      </w:r>
      <w:r w:rsidRPr="00EE48D9">
        <w:rPr>
          <w:rFonts w:cs="Arial"/>
          <w:i/>
          <w:sz w:val="19"/>
          <w:szCs w:val="19"/>
        </w:rPr>
      </w:r>
      <w:r w:rsidRPr="00EE48D9">
        <w:rPr>
          <w:rFonts w:cs="Arial"/>
          <w:i/>
          <w:sz w:val="19"/>
          <w:szCs w:val="19"/>
        </w:rPr>
        <w:fldChar w:fldCharType="separate"/>
      </w:r>
      <w:r w:rsidR="00562930" w:rsidRPr="00EE48D9">
        <w:rPr>
          <w:rFonts w:cs="Arial"/>
          <w:i/>
          <w:noProof/>
          <w:sz w:val="19"/>
          <w:szCs w:val="19"/>
        </w:rPr>
        <w:t>(completion date)</w:t>
      </w:r>
      <w:r w:rsidRPr="00EE48D9">
        <w:rPr>
          <w:rFonts w:cs="Arial"/>
          <w:i/>
          <w:sz w:val="19"/>
          <w:szCs w:val="19"/>
        </w:rPr>
        <w:fldChar w:fldCharType="end"/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 xml:space="preserve">for the entity identified in Part 2 of this document as of </w:t>
      </w:r>
      <w:r w:rsidR="00DE5901" w:rsidRPr="00EE48D9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Date of PCI Compliance"/>
            <w:textInput>
              <w:default w:val="(date)"/>
            </w:textInput>
          </w:ffData>
        </w:fldChar>
      </w:r>
      <w:r w:rsidR="00DE5901" w:rsidRPr="00EE48D9">
        <w:rPr>
          <w:rFonts w:cs="Arial"/>
          <w:bCs/>
          <w:i/>
          <w:sz w:val="19"/>
          <w:szCs w:val="19"/>
        </w:rPr>
        <w:instrText xml:space="preserve"> FORMTEXT </w:instrText>
      </w:r>
      <w:r w:rsidR="00DE5901" w:rsidRPr="00EE48D9">
        <w:rPr>
          <w:rFonts w:cs="Arial"/>
          <w:bCs/>
          <w:i/>
          <w:sz w:val="19"/>
          <w:szCs w:val="19"/>
        </w:rPr>
      </w:r>
      <w:r w:rsidR="00DE5901" w:rsidRPr="00EE48D9">
        <w:rPr>
          <w:rFonts w:cs="Arial"/>
          <w:bCs/>
          <w:i/>
          <w:sz w:val="19"/>
          <w:szCs w:val="19"/>
        </w:rPr>
        <w:fldChar w:fldCharType="separate"/>
      </w:r>
      <w:r w:rsidR="00DE5901" w:rsidRPr="00EE48D9">
        <w:rPr>
          <w:rFonts w:cs="Arial"/>
          <w:bCs/>
          <w:i/>
          <w:noProof/>
          <w:sz w:val="19"/>
          <w:szCs w:val="19"/>
        </w:rPr>
        <w:t>(date)</w:t>
      </w:r>
      <w:r w:rsidR="00DE5901" w:rsidRPr="00EE48D9">
        <w:rPr>
          <w:rFonts w:cs="Arial"/>
          <w:bCs/>
          <w:i/>
          <w:sz w:val="19"/>
          <w:szCs w:val="19"/>
        </w:rPr>
        <w:fldChar w:fldCharType="end"/>
      </w:r>
      <w:r w:rsidR="00DE5901" w:rsidRPr="00EE48D9">
        <w:rPr>
          <w:rFonts w:cs="Arial"/>
          <w:bCs/>
          <w:sz w:val="19"/>
          <w:szCs w:val="19"/>
        </w:rPr>
        <w:t>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EE48D9">
        <w:tc>
          <w:tcPr>
            <w:tcW w:w="9450" w:type="dxa"/>
            <w:gridSpan w:val="2"/>
            <w:shd w:val="clear" w:color="C0C0C0" w:fill="E0E0E0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3B38ECC0" w:rsidR="00FB4992" w:rsidRPr="00EE48D9" w:rsidRDefault="00FB4992" w:rsidP="00265B9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265B93">
              <w:rPr>
                <w:rFonts w:cs="Arial"/>
                <w:sz w:val="19"/>
                <w:szCs w:val="19"/>
              </w:rPr>
              <w:t>A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11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1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A751CD">
              <w:rPr>
                <w:rFonts w:cs="Arial"/>
                <w:sz w:val="18"/>
                <w:szCs w:val="20"/>
              </w:rPr>
            </w:r>
            <w:r w:rsidR="00A751CD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EE48D9">
        <w:tc>
          <w:tcPr>
            <w:tcW w:w="9450" w:type="dxa"/>
            <w:gridSpan w:val="2"/>
            <w:shd w:val="clear" w:color="C0C0C0" w:fill="E0E0E0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sz w:val="19"/>
                <w:szCs w:val="19"/>
              </w:rPr>
            </w:r>
            <w:r w:rsidR="00A751CD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751CD">
              <w:rPr>
                <w:rFonts w:cs="Arial"/>
                <w:bCs/>
                <w:sz w:val="19"/>
                <w:szCs w:val="19"/>
              </w:rPr>
            </w:r>
            <w:r w:rsidR="00A751C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330504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0E0E0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A33281">
              <w:rPr>
                <w:rFonts w:eastAsia="MS Mincho" w:cs="Courier New"/>
                <w:sz w:val="19"/>
                <w:szCs w:val="19"/>
              </w:rPr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A33281">
              <w:rPr>
                <w:rFonts w:eastAsia="MS Mincho" w:cs="Courier New"/>
                <w:sz w:val="19"/>
                <w:szCs w:val="19"/>
              </w:rPr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A33281">
              <w:rPr>
                <w:rFonts w:eastAsia="MS Mincho" w:cs="Courier New"/>
                <w:sz w:val="19"/>
                <w:szCs w:val="19"/>
              </w:rPr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="00562930" w:rsidRPr="00A33281">
              <w:rPr>
                <w:rFonts w:eastAsia="MS Mincho" w:cs="Courier New"/>
                <w:noProof/>
                <w:sz w:val="19"/>
                <w:szCs w:val="19"/>
              </w:rPr>
              <w:t> </w:t>
            </w:r>
            <w:r w:rsidRPr="00A33281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780"/>
      </w:tblGrid>
      <w:tr w:rsidR="00DA1AE3" w:rsidRPr="003C4EB4" w14:paraId="55DBAF9F" w14:textId="77777777" w:rsidTr="00564700">
        <w:tc>
          <w:tcPr>
            <w:tcW w:w="0" w:type="auto"/>
            <w:gridSpan w:val="3"/>
            <w:shd w:val="clear" w:color="C0C0C0" w:fill="E0E0E0"/>
          </w:tcPr>
          <w:p w14:paraId="75443CC1" w14:textId="77777777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>Part 3c. QSA Acknowledgement (if applicable)</w:t>
            </w:r>
          </w:p>
        </w:tc>
      </w:tr>
      <w:tr w:rsidR="00564700" w:rsidRPr="00C16396" w14:paraId="51EC2F8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00" w:type="dxa"/>
            <w:gridSpan w:val="2"/>
          </w:tcPr>
          <w:p w14:paraId="17F5F607" w14:textId="77777777" w:rsidR="00DA1AE3" w:rsidRPr="00C16396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18570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704">
              <w:rPr>
                <w:i/>
                <w:sz w:val="18"/>
                <w:szCs w:val="20"/>
              </w:rPr>
              <w:instrText xml:space="preserve"> FORMTEXT </w:instrText>
            </w:r>
            <w:r w:rsidRPr="00185704">
              <w:rPr>
                <w:i/>
                <w:sz w:val="18"/>
                <w:szCs w:val="20"/>
              </w:rPr>
            </w:r>
            <w:r w:rsidRPr="00185704">
              <w:rPr>
                <w:i/>
                <w:sz w:val="18"/>
                <w:szCs w:val="20"/>
              </w:rPr>
              <w:fldChar w:fldCharType="separate"/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>
              <w:rPr>
                <w:i/>
                <w:noProof/>
                <w:sz w:val="18"/>
                <w:szCs w:val="20"/>
              </w:rPr>
              <w:t> </w:t>
            </w:r>
            <w:r w:rsidRPr="0018570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64700" w:rsidRPr="00A33281" w14:paraId="1D22FB15" w14:textId="77777777" w:rsidTr="00564700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C548FFF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QSA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324FDA1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</w:tr>
      <w:tr w:rsidR="00564700" w:rsidRPr="00A33281" w14:paraId="0D309C85" w14:textId="77777777" w:rsidTr="00564700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2071630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Name: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4EB2D2B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780"/>
      </w:tblGrid>
      <w:tr w:rsidR="00DA1AE3" w:rsidRPr="003C4EB4" w14:paraId="50456C69" w14:textId="77777777" w:rsidTr="00330504">
        <w:tc>
          <w:tcPr>
            <w:tcW w:w="9360" w:type="dxa"/>
            <w:gridSpan w:val="3"/>
            <w:shd w:val="clear" w:color="C0C0C0" w:fill="E0E0E0"/>
          </w:tcPr>
          <w:p w14:paraId="7352F31C" w14:textId="77777777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>Part 3d. ISA Acknowledgement (if applicable)</w:t>
            </w:r>
          </w:p>
        </w:tc>
      </w:tr>
      <w:tr w:rsidR="00DA1AE3" w:rsidRPr="00564700" w14:paraId="5A763B2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ISA was involved or assisted with this assessment, describe the role performed:</w:t>
            </w:r>
          </w:p>
        </w:tc>
        <w:tc>
          <w:tcPr>
            <w:tcW w:w="5400" w:type="dxa"/>
            <w:gridSpan w:val="2"/>
          </w:tcPr>
          <w:p w14:paraId="100CE9E9" w14:textId="77777777" w:rsidR="00DA1AE3" w:rsidRPr="00564700" w:rsidRDefault="00DA1AE3" w:rsidP="00DA1AE3">
            <w:pPr>
              <w:spacing w:after="60"/>
              <w:rPr>
                <w:sz w:val="18"/>
              </w:rPr>
            </w:pPr>
            <w:r w:rsidRPr="00564700">
              <w:rPr>
                <w:i/>
                <w:sz w:val="18"/>
                <w:szCs w:val="20"/>
              </w:rPr>
              <w:t xml:space="preserve"> </w:t>
            </w:r>
            <w:r w:rsidRPr="00564700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700">
              <w:rPr>
                <w:i/>
                <w:sz w:val="18"/>
                <w:szCs w:val="20"/>
              </w:rPr>
              <w:instrText xml:space="preserve"> FORMTEXT </w:instrText>
            </w:r>
            <w:r w:rsidRPr="00564700">
              <w:rPr>
                <w:i/>
                <w:sz w:val="18"/>
                <w:szCs w:val="20"/>
              </w:rPr>
            </w:r>
            <w:r w:rsidRPr="00564700">
              <w:rPr>
                <w:i/>
                <w:sz w:val="18"/>
                <w:szCs w:val="20"/>
              </w:rPr>
              <w:fldChar w:fldCharType="separate"/>
            </w:r>
            <w:r w:rsidRPr="00564700">
              <w:rPr>
                <w:i/>
                <w:noProof/>
                <w:sz w:val="18"/>
                <w:szCs w:val="20"/>
              </w:rPr>
              <w:t> </w:t>
            </w:r>
            <w:r w:rsidRPr="00564700">
              <w:rPr>
                <w:i/>
                <w:noProof/>
                <w:sz w:val="18"/>
                <w:szCs w:val="20"/>
              </w:rPr>
              <w:t> </w:t>
            </w:r>
            <w:r w:rsidRPr="00564700">
              <w:rPr>
                <w:i/>
                <w:noProof/>
                <w:sz w:val="18"/>
                <w:szCs w:val="20"/>
              </w:rPr>
              <w:t> </w:t>
            </w:r>
            <w:r w:rsidRPr="00564700">
              <w:rPr>
                <w:i/>
                <w:noProof/>
                <w:sz w:val="18"/>
                <w:szCs w:val="20"/>
              </w:rPr>
              <w:t> </w:t>
            </w:r>
            <w:r w:rsidRPr="00564700">
              <w:rPr>
                <w:i/>
                <w:noProof/>
                <w:sz w:val="18"/>
                <w:szCs w:val="20"/>
              </w:rPr>
              <w:t> </w:t>
            </w:r>
            <w:r w:rsidRPr="00564700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C16396" w14:paraId="67E08DB6" w14:textId="77777777" w:rsidTr="00330504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04C91BA5" w14:textId="77777777" w:rsidR="00DA1AE3" w:rsidRDefault="00DA1AE3" w:rsidP="00DA1AE3">
            <w:pPr>
              <w:spacing w:after="60"/>
              <w:rPr>
                <w:b/>
                <w:sz w:val="18"/>
              </w:rPr>
            </w:pPr>
          </w:p>
          <w:p w14:paraId="32364ACE" w14:textId="77777777" w:rsidR="00DA1AE3" w:rsidRPr="00C16396" w:rsidRDefault="00DA1AE3" w:rsidP="00DA1AE3">
            <w:pPr>
              <w:spacing w:after="60"/>
              <w:rPr>
                <w:b/>
                <w:sz w:val="18"/>
              </w:rPr>
            </w:pPr>
          </w:p>
        </w:tc>
      </w:tr>
      <w:tr w:rsidR="00DA1AE3" w:rsidRPr="00A33281" w14:paraId="346C35E7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CA966E5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ISA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79DD289E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</w:tr>
      <w:tr w:rsidR="00DA1AE3" w:rsidRPr="00A33281" w14:paraId="4790424F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65CA62D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ISA Name: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B5FDC39" w14:textId="77777777" w:rsidR="00DA1AE3" w:rsidRPr="00A33281" w:rsidRDefault="00DA1AE3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A3328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281">
              <w:rPr>
                <w:sz w:val="19"/>
                <w:szCs w:val="19"/>
              </w:rPr>
              <w:instrText xml:space="preserve"> FORMTEXT </w:instrText>
            </w:r>
            <w:r w:rsidRPr="00A33281">
              <w:rPr>
                <w:sz w:val="19"/>
                <w:szCs w:val="19"/>
              </w:rPr>
            </w:r>
            <w:r w:rsidRPr="00A33281">
              <w:rPr>
                <w:sz w:val="19"/>
                <w:szCs w:val="19"/>
              </w:rPr>
              <w:fldChar w:fldCharType="separate"/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noProof/>
                <w:sz w:val="19"/>
                <w:szCs w:val="19"/>
              </w:rPr>
              <w:t> </w:t>
            </w:r>
            <w:r w:rsidRPr="00A33281">
              <w:rPr>
                <w:sz w:val="19"/>
                <w:szCs w:val="19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2970"/>
      </w:tblGrid>
      <w:tr w:rsidR="00FB4992" w:rsidRPr="003C4EB4" w14:paraId="285FAE78" w14:textId="77777777" w:rsidTr="00182A7B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19EBE7AB" w:rsidR="00F14477" w:rsidRPr="001067D9" w:rsidRDefault="00751956" w:rsidP="00265B93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265B93">
            <w:pPr>
              <w:overflowPunct w:val="0"/>
              <w:autoSpaceDE w:val="0"/>
              <w:autoSpaceDN w:val="0"/>
              <w:adjustRightInd w:val="0"/>
              <w:spacing w:before="120" w:after="24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C16396" w14:paraId="2EC129CD" w14:textId="77777777" w:rsidTr="0010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EEBDF2" w14:textId="77777777" w:rsidR="00FB4992" w:rsidRPr="001067D9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32631D07" w:rsidR="00FB4992" w:rsidRPr="001067D9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77777777" w:rsidR="0005585E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 w:rsidR="00FF06B3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 w:rsidR="00535B21"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FB4992" w:rsidRPr="00182A7B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FB4992" w:rsidRPr="00C16396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82A7B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82A7B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82A7B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82A7B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C16396" w14:paraId="3ADB3E3D" w14:textId="77777777" w:rsidTr="0010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2B34A7FA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A751CD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A751CD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A751CD">
              <w:fldChar w:fldCharType="separate"/>
            </w:r>
            <w:r w:rsidRPr="00C16396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A751CD">
              <w:fldChar w:fldCharType="separate"/>
            </w:r>
            <w:r w:rsidRPr="00C16396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1851FC5D" w14:textId="77777777" w:rsidR="00F14477" w:rsidRDefault="00F14477" w:rsidP="00B60240">
      <w:pPr>
        <w:spacing w:before="240" w:after="0"/>
        <w:jc w:val="center"/>
      </w:pPr>
    </w:p>
    <w:p w14:paraId="037C08B1" w14:textId="77777777" w:rsidR="00265B93" w:rsidRDefault="00265B93" w:rsidP="00B60240">
      <w:pPr>
        <w:spacing w:before="240" w:after="0"/>
        <w:jc w:val="center"/>
      </w:pPr>
    </w:p>
    <w:p w14:paraId="48660DC5" w14:textId="77777777" w:rsidR="00265B93" w:rsidRDefault="00265B93" w:rsidP="00B60240">
      <w:pPr>
        <w:spacing w:before="240" w:after="0"/>
        <w:jc w:val="center"/>
      </w:pPr>
    </w:p>
    <w:p w14:paraId="0E2B2380" w14:textId="77777777" w:rsidR="00265B93" w:rsidRDefault="00265B93" w:rsidP="00B60240">
      <w:pPr>
        <w:spacing w:before="240" w:after="0"/>
        <w:jc w:val="center"/>
      </w:pPr>
    </w:p>
    <w:p w14:paraId="27FD8C51" w14:textId="77777777" w:rsidR="00265B93" w:rsidRDefault="00265B93" w:rsidP="00B60240">
      <w:pPr>
        <w:spacing w:before="240" w:after="0"/>
        <w:jc w:val="center"/>
      </w:pPr>
    </w:p>
    <w:p w14:paraId="44FCB659" w14:textId="77777777" w:rsidR="00265B93" w:rsidRDefault="00265B93" w:rsidP="00B60240">
      <w:pPr>
        <w:spacing w:before="240" w:after="0"/>
        <w:jc w:val="center"/>
      </w:pPr>
    </w:p>
    <w:p w14:paraId="2DEC53A4" w14:textId="77777777" w:rsidR="00265B93" w:rsidRDefault="00265B93" w:rsidP="00B60240">
      <w:pPr>
        <w:spacing w:before="240" w:after="0"/>
        <w:jc w:val="center"/>
      </w:pPr>
    </w:p>
    <w:p w14:paraId="5E519637" w14:textId="77777777" w:rsidR="00265B93" w:rsidRDefault="00265B93" w:rsidP="00B60240">
      <w:pPr>
        <w:spacing w:before="240" w:after="0"/>
        <w:jc w:val="center"/>
      </w:pPr>
    </w:p>
    <w:p w14:paraId="7AFC9B70" w14:textId="77777777" w:rsidR="00265B93" w:rsidRDefault="00265B93" w:rsidP="00B60240">
      <w:pPr>
        <w:spacing w:before="240" w:after="0"/>
        <w:jc w:val="center"/>
      </w:pPr>
    </w:p>
    <w:p w14:paraId="47E40143" w14:textId="77777777" w:rsidR="00265B93" w:rsidRDefault="00265B93" w:rsidP="00B60240">
      <w:pPr>
        <w:spacing w:before="240" w:after="0"/>
        <w:jc w:val="center"/>
      </w:pPr>
    </w:p>
    <w:p w14:paraId="7DD8476A" w14:textId="77777777" w:rsidR="007711F4" w:rsidRDefault="007711F4" w:rsidP="00B60240">
      <w:pPr>
        <w:spacing w:before="240" w:after="0"/>
        <w:jc w:val="center"/>
      </w:pPr>
    </w:p>
    <w:p w14:paraId="6D38AB76" w14:textId="77777777" w:rsidR="007711F4" w:rsidRDefault="007711F4" w:rsidP="00B60240">
      <w:pPr>
        <w:spacing w:before="240" w:after="0"/>
        <w:jc w:val="center"/>
      </w:pPr>
    </w:p>
    <w:p w14:paraId="3216B4BF" w14:textId="77777777" w:rsidR="007711F4" w:rsidRDefault="007711F4" w:rsidP="00B60240">
      <w:pPr>
        <w:spacing w:before="240" w:after="0"/>
        <w:jc w:val="center"/>
      </w:pPr>
    </w:p>
    <w:p w14:paraId="11113EA2" w14:textId="77777777" w:rsidR="00265B93" w:rsidRDefault="00265B93" w:rsidP="00B60240">
      <w:pPr>
        <w:spacing w:before="240" w:after="0"/>
        <w:jc w:val="center"/>
      </w:pPr>
    </w:p>
    <w:p w14:paraId="5D9C97C7" w14:textId="7576399C" w:rsidR="00265B93" w:rsidRDefault="007711F4" w:rsidP="00B60240">
      <w:pPr>
        <w:spacing w:before="240" w:after="0"/>
        <w:jc w:val="center"/>
      </w:pPr>
      <w:r>
        <w:rPr>
          <w:noProof/>
        </w:rPr>
        <w:drawing>
          <wp:inline distT="0" distB="0" distL="0" distR="0" wp14:anchorId="538D01B8" wp14:editId="6387C6D5">
            <wp:extent cx="56388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4F4DFC63" w:rsidR="007A6BE4" w:rsidRPr="007A000C" w:rsidRDefault="007A6BE4" w:rsidP="00EE48D9">
      <w:pPr>
        <w:spacing w:before="0" w:after="0" w:line="240" w:lineRule="auto"/>
        <w:jc w:val="center"/>
      </w:pPr>
    </w:p>
    <w:sectPr w:rsidR="007A6BE4" w:rsidRPr="007A000C" w:rsidSect="00514CA4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CB2BC" w14:textId="77777777" w:rsidR="00A751CD" w:rsidRDefault="00A751CD">
      <w:r>
        <w:separator/>
      </w:r>
    </w:p>
  </w:endnote>
  <w:endnote w:type="continuationSeparator" w:id="0">
    <w:p w14:paraId="7628B3B6" w14:textId="77777777" w:rsidR="00A751CD" w:rsidRDefault="00A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B174" w14:textId="0D8A6EE8" w:rsidR="00D9622B" w:rsidRPr="00EE70C8" w:rsidRDefault="00D9622B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Attestation of Compliance for SAQ A, v3.0</w:t>
    </w:r>
    <w:r w:rsidRPr="00EE70C8">
      <w:rPr>
        <w:sz w:val="18"/>
      </w:rPr>
      <w:tab/>
    </w:r>
    <w:r>
      <w:rPr>
        <w:sz w:val="18"/>
      </w:rPr>
      <w:t>February 2014</w:t>
    </w:r>
  </w:p>
  <w:p w14:paraId="1A215D60" w14:textId="7614FA4B" w:rsidR="00D9622B" w:rsidRPr="00476CAE" w:rsidRDefault="00063DBE" w:rsidP="00063DBE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2006-2014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 w:rsidR="00E51830">
      <w:rPr>
        <w:rStyle w:val="PageNumber"/>
        <w:bCs/>
        <w:noProof/>
        <w:sz w:val="18"/>
      </w:rPr>
      <w:t>1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E498" w14:textId="77777777" w:rsidR="00A751CD" w:rsidRDefault="00A751CD">
      <w:r>
        <w:separator/>
      </w:r>
    </w:p>
  </w:footnote>
  <w:footnote w:type="continuationSeparator" w:id="0">
    <w:p w14:paraId="17AF9440" w14:textId="77777777" w:rsidR="00A751CD" w:rsidRDefault="00A751CD">
      <w:r>
        <w:continuationSeparator/>
      </w:r>
    </w:p>
  </w:footnote>
  <w:footnote w:id="1">
    <w:p w14:paraId="405F9A3D" w14:textId="1D710F19" w:rsidR="00D9622B" w:rsidRPr="00EE70C8" w:rsidRDefault="00D9622B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D9622B" w:rsidRPr="00EE70C8" w:rsidRDefault="00D9622B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D9622B" w:rsidRPr="00EE70C8" w:rsidRDefault="00D9622B" w:rsidP="001C75A2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8187" w14:textId="77777777" w:rsidR="00D9622B" w:rsidRDefault="00D9622B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B0BF" w14:textId="77777777" w:rsidR="00D9622B" w:rsidRPr="00E213C2" w:rsidRDefault="00D9622B" w:rsidP="00E213C2">
    <w:pPr>
      <w:pStyle w:val="Header"/>
      <w:spacing w:before="0" w:after="0"/>
      <w:ind w:left="-86"/>
      <w:rPr>
        <w:sz w:val="4"/>
        <w:szCs w:val="4"/>
      </w:rPr>
    </w:pPr>
    <w:r w:rsidRPr="005B6058">
      <w:rPr>
        <w:noProof/>
        <w:sz w:val="4"/>
        <w:szCs w:val="4"/>
      </w:rPr>
      <mc:AlternateContent>
        <mc:Choice Requires="wps">
          <w:drawing>
            <wp:anchor distT="4294967293" distB="4294967293" distL="118872" distR="114300" simplePos="0" relativeHeight="251676672" behindDoc="0" locked="0" layoutInCell="1" allowOverlap="1" wp14:anchorId="3DB47990" wp14:editId="4FA84BA0">
              <wp:simplePos x="0" y="0"/>
              <wp:positionH relativeFrom="column">
                <wp:posOffset>1069975</wp:posOffset>
              </wp:positionH>
              <wp:positionV relativeFrom="paragraph">
                <wp:posOffset>228600</wp:posOffset>
              </wp:positionV>
              <wp:extent cx="4873625" cy="63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76672;visibility:visible;mso-wrap-style:square;mso-width-percent:0;mso-height-percent:0;mso-wrap-distance-left:9.36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84.25pt,18pt" to="468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" strokecolor="#006a71" strokeweight=".5pt">
              <w10:wrap type="tight"/>
            </v:line>
          </w:pict>
        </mc:Fallback>
      </mc:AlternateContent>
    </w:r>
    <w:r w:rsidRPr="005B6058">
      <w:rPr>
        <w:noProof/>
        <w:sz w:val="4"/>
        <w:szCs w:val="4"/>
      </w:rPr>
      <w:drawing>
        <wp:inline distT="0" distB="0" distL="0" distR="0" wp14:anchorId="066A0974" wp14:editId="2CF94FD4">
          <wp:extent cx="1081405" cy="334010"/>
          <wp:effectExtent l="0" t="0" r="10795" b="0"/>
          <wp:docPr id="6" name="Picture 6" descr="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5CE5BF1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4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32AE6D0A"/>
    <w:multiLevelType w:val="multilevel"/>
    <w:tmpl w:val="03D42C1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>
    <w:nsid w:val="50F2104F"/>
    <w:multiLevelType w:val="hybridMultilevel"/>
    <w:tmpl w:val="AB2C2736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6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18"/>
  </w:num>
  <w:num w:numId="12">
    <w:abstractNumId w:val="13"/>
  </w:num>
  <w:num w:numId="13">
    <w:abstractNumId w:val="24"/>
  </w:num>
  <w:num w:numId="14">
    <w:abstractNumId w:val="25"/>
  </w:num>
  <w:num w:numId="15">
    <w:abstractNumId w:val="20"/>
  </w:num>
  <w:num w:numId="16">
    <w:abstractNumId w:val="31"/>
  </w:num>
  <w:num w:numId="17">
    <w:abstractNumId w:val="34"/>
  </w:num>
  <w:num w:numId="18">
    <w:abstractNumId w:val="22"/>
  </w:num>
  <w:num w:numId="19">
    <w:abstractNumId w:val="29"/>
  </w:num>
  <w:num w:numId="20">
    <w:abstractNumId w:val="38"/>
  </w:num>
  <w:num w:numId="21">
    <w:abstractNumId w:val="14"/>
  </w:num>
  <w:num w:numId="22">
    <w:abstractNumId w:val="15"/>
  </w:num>
  <w:num w:numId="23">
    <w:abstractNumId w:val="19"/>
  </w:num>
  <w:num w:numId="24">
    <w:abstractNumId w:val="9"/>
  </w:num>
  <w:num w:numId="25">
    <w:abstractNumId w:val="16"/>
  </w:num>
  <w:num w:numId="26">
    <w:abstractNumId w:val="10"/>
  </w:num>
  <w:num w:numId="27">
    <w:abstractNumId w:val="32"/>
  </w:num>
  <w:num w:numId="28">
    <w:abstractNumId w:val="12"/>
  </w:num>
  <w:num w:numId="29">
    <w:abstractNumId w:val="26"/>
  </w:num>
  <w:num w:numId="30">
    <w:abstractNumId w:val="33"/>
  </w:num>
  <w:num w:numId="31">
    <w:abstractNumId w:val="28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17"/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27"/>
    <w:lvlOverride w:ilvl="0">
      <w:startOverride w:val="2"/>
    </w:lvlOverride>
  </w:num>
  <w:num w:numId="60">
    <w:abstractNumId w:val="27"/>
    <w:lvlOverride w:ilvl="0">
      <w:startOverride w:val="1"/>
    </w:lvlOverride>
  </w:num>
  <w:num w:numId="61">
    <w:abstractNumId w:val="21"/>
  </w:num>
  <w:num w:numId="62">
    <w:abstractNumId w:val="36"/>
  </w:num>
  <w:num w:numId="63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75Atfpc3W1iqGunGwIyKt5cqfjY=" w:salt="vQAA/5WM2YjUs47+QI6/t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9"/>
    <w:rsid w:val="000013FE"/>
    <w:rsid w:val="0000265E"/>
    <w:rsid w:val="000046AD"/>
    <w:rsid w:val="00004E20"/>
    <w:rsid w:val="0002437F"/>
    <w:rsid w:val="00025149"/>
    <w:rsid w:val="000267BA"/>
    <w:rsid w:val="00026FE2"/>
    <w:rsid w:val="00027C2B"/>
    <w:rsid w:val="0003257B"/>
    <w:rsid w:val="00033510"/>
    <w:rsid w:val="00037218"/>
    <w:rsid w:val="00037464"/>
    <w:rsid w:val="00037F18"/>
    <w:rsid w:val="0004288E"/>
    <w:rsid w:val="000436C2"/>
    <w:rsid w:val="00045E93"/>
    <w:rsid w:val="0004672B"/>
    <w:rsid w:val="00051281"/>
    <w:rsid w:val="000523A4"/>
    <w:rsid w:val="0005585E"/>
    <w:rsid w:val="00063DBE"/>
    <w:rsid w:val="000658EB"/>
    <w:rsid w:val="000708BF"/>
    <w:rsid w:val="0008356C"/>
    <w:rsid w:val="00090AC1"/>
    <w:rsid w:val="000912A2"/>
    <w:rsid w:val="00091D32"/>
    <w:rsid w:val="000922F5"/>
    <w:rsid w:val="0009315E"/>
    <w:rsid w:val="000A13B5"/>
    <w:rsid w:val="000A6E53"/>
    <w:rsid w:val="000A79E1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0F3C7D"/>
    <w:rsid w:val="0010513F"/>
    <w:rsid w:val="001067D9"/>
    <w:rsid w:val="00106CD1"/>
    <w:rsid w:val="00113325"/>
    <w:rsid w:val="00123925"/>
    <w:rsid w:val="001259F4"/>
    <w:rsid w:val="001320D8"/>
    <w:rsid w:val="0013274E"/>
    <w:rsid w:val="00133496"/>
    <w:rsid w:val="001339D2"/>
    <w:rsid w:val="00137B4A"/>
    <w:rsid w:val="00141FE0"/>
    <w:rsid w:val="001423CE"/>
    <w:rsid w:val="00142475"/>
    <w:rsid w:val="00144959"/>
    <w:rsid w:val="00144D87"/>
    <w:rsid w:val="0014618E"/>
    <w:rsid w:val="00150E3B"/>
    <w:rsid w:val="00152024"/>
    <w:rsid w:val="00152A9A"/>
    <w:rsid w:val="0015389F"/>
    <w:rsid w:val="00162628"/>
    <w:rsid w:val="00163BD5"/>
    <w:rsid w:val="001670AB"/>
    <w:rsid w:val="00173A9A"/>
    <w:rsid w:val="00174F4F"/>
    <w:rsid w:val="00182A7B"/>
    <w:rsid w:val="00185704"/>
    <w:rsid w:val="00186421"/>
    <w:rsid w:val="00193D78"/>
    <w:rsid w:val="001967F2"/>
    <w:rsid w:val="001B1CFE"/>
    <w:rsid w:val="001B69EA"/>
    <w:rsid w:val="001C3F12"/>
    <w:rsid w:val="001C536B"/>
    <w:rsid w:val="001C5B83"/>
    <w:rsid w:val="001C6DAA"/>
    <w:rsid w:val="001C74F9"/>
    <w:rsid w:val="001C757B"/>
    <w:rsid w:val="001C75A2"/>
    <w:rsid w:val="001C7B14"/>
    <w:rsid w:val="001D0A4B"/>
    <w:rsid w:val="001D56B8"/>
    <w:rsid w:val="001D5C04"/>
    <w:rsid w:val="001D610F"/>
    <w:rsid w:val="001E1947"/>
    <w:rsid w:val="001E7680"/>
    <w:rsid w:val="0020023C"/>
    <w:rsid w:val="00201091"/>
    <w:rsid w:val="00201D86"/>
    <w:rsid w:val="00202A83"/>
    <w:rsid w:val="00203826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5996"/>
    <w:rsid w:val="00256F43"/>
    <w:rsid w:val="0025790B"/>
    <w:rsid w:val="00261B15"/>
    <w:rsid w:val="00263FEC"/>
    <w:rsid w:val="00265B93"/>
    <w:rsid w:val="00271277"/>
    <w:rsid w:val="00271E6F"/>
    <w:rsid w:val="0027550C"/>
    <w:rsid w:val="00277B37"/>
    <w:rsid w:val="0028383F"/>
    <w:rsid w:val="002933DF"/>
    <w:rsid w:val="002979AD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1936"/>
    <w:rsid w:val="002E32A1"/>
    <w:rsid w:val="002E62E7"/>
    <w:rsid w:val="002E69FE"/>
    <w:rsid w:val="002E75EA"/>
    <w:rsid w:val="002F08F3"/>
    <w:rsid w:val="002F3CB3"/>
    <w:rsid w:val="002F60DD"/>
    <w:rsid w:val="0030125D"/>
    <w:rsid w:val="00303B65"/>
    <w:rsid w:val="00303D42"/>
    <w:rsid w:val="003068FC"/>
    <w:rsid w:val="00314CC0"/>
    <w:rsid w:val="00321788"/>
    <w:rsid w:val="003223FC"/>
    <w:rsid w:val="003251AE"/>
    <w:rsid w:val="003268F8"/>
    <w:rsid w:val="00330504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60CD6"/>
    <w:rsid w:val="00382416"/>
    <w:rsid w:val="00384B7D"/>
    <w:rsid w:val="003878A3"/>
    <w:rsid w:val="003915B0"/>
    <w:rsid w:val="00393036"/>
    <w:rsid w:val="00394991"/>
    <w:rsid w:val="003A1971"/>
    <w:rsid w:val="003A55B3"/>
    <w:rsid w:val="003B153A"/>
    <w:rsid w:val="003C4EB4"/>
    <w:rsid w:val="003C5F26"/>
    <w:rsid w:val="003D28E8"/>
    <w:rsid w:val="003E2B90"/>
    <w:rsid w:val="003F3C7D"/>
    <w:rsid w:val="003F3CD0"/>
    <w:rsid w:val="003F42D6"/>
    <w:rsid w:val="003F7088"/>
    <w:rsid w:val="00402069"/>
    <w:rsid w:val="00406D0D"/>
    <w:rsid w:val="00406E4D"/>
    <w:rsid w:val="00410AEC"/>
    <w:rsid w:val="00415084"/>
    <w:rsid w:val="00422BAE"/>
    <w:rsid w:val="00423991"/>
    <w:rsid w:val="004248CC"/>
    <w:rsid w:val="00425B48"/>
    <w:rsid w:val="0042753C"/>
    <w:rsid w:val="00435007"/>
    <w:rsid w:val="00437D0F"/>
    <w:rsid w:val="00442F5A"/>
    <w:rsid w:val="00447947"/>
    <w:rsid w:val="00460002"/>
    <w:rsid w:val="00461082"/>
    <w:rsid w:val="00461B7B"/>
    <w:rsid w:val="00462F0D"/>
    <w:rsid w:val="00474E28"/>
    <w:rsid w:val="00476CAE"/>
    <w:rsid w:val="00485821"/>
    <w:rsid w:val="004947CA"/>
    <w:rsid w:val="00495B5B"/>
    <w:rsid w:val="004A1E1A"/>
    <w:rsid w:val="004B6433"/>
    <w:rsid w:val="004B6E64"/>
    <w:rsid w:val="004C1A8B"/>
    <w:rsid w:val="004D1CDE"/>
    <w:rsid w:val="004E2EF1"/>
    <w:rsid w:val="004E6926"/>
    <w:rsid w:val="004F31F6"/>
    <w:rsid w:val="00502461"/>
    <w:rsid w:val="00505153"/>
    <w:rsid w:val="0051062B"/>
    <w:rsid w:val="005133FC"/>
    <w:rsid w:val="00514CA4"/>
    <w:rsid w:val="0051776F"/>
    <w:rsid w:val="00522E89"/>
    <w:rsid w:val="00526823"/>
    <w:rsid w:val="00531870"/>
    <w:rsid w:val="00534101"/>
    <w:rsid w:val="00535892"/>
    <w:rsid w:val="00535B21"/>
    <w:rsid w:val="00541CA2"/>
    <w:rsid w:val="005475D8"/>
    <w:rsid w:val="00552CA1"/>
    <w:rsid w:val="00553DA6"/>
    <w:rsid w:val="00556BC9"/>
    <w:rsid w:val="00562930"/>
    <w:rsid w:val="00564700"/>
    <w:rsid w:val="00585973"/>
    <w:rsid w:val="0059135E"/>
    <w:rsid w:val="005933E4"/>
    <w:rsid w:val="00595BE9"/>
    <w:rsid w:val="00597951"/>
    <w:rsid w:val="005A00C0"/>
    <w:rsid w:val="005A09A1"/>
    <w:rsid w:val="005A1183"/>
    <w:rsid w:val="005A1ADB"/>
    <w:rsid w:val="005A1DE4"/>
    <w:rsid w:val="005A6E84"/>
    <w:rsid w:val="005B1624"/>
    <w:rsid w:val="005B1895"/>
    <w:rsid w:val="005B304F"/>
    <w:rsid w:val="005B5CDB"/>
    <w:rsid w:val="005B600F"/>
    <w:rsid w:val="005B6058"/>
    <w:rsid w:val="005B73C3"/>
    <w:rsid w:val="005B7C8C"/>
    <w:rsid w:val="005C3CB7"/>
    <w:rsid w:val="005C5DB3"/>
    <w:rsid w:val="005D7962"/>
    <w:rsid w:val="005E4348"/>
    <w:rsid w:val="005E6D65"/>
    <w:rsid w:val="005E754A"/>
    <w:rsid w:val="005F1D2D"/>
    <w:rsid w:val="005F2491"/>
    <w:rsid w:val="005F3304"/>
    <w:rsid w:val="0060407C"/>
    <w:rsid w:val="0061069E"/>
    <w:rsid w:val="00612FCD"/>
    <w:rsid w:val="00613DAB"/>
    <w:rsid w:val="00615F06"/>
    <w:rsid w:val="0061638B"/>
    <w:rsid w:val="00632E0B"/>
    <w:rsid w:val="00636FEC"/>
    <w:rsid w:val="006460AA"/>
    <w:rsid w:val="00647B83"/>
    <w:rsid w:val="0065409C"/>
    <w:rsid w:val="00660023"/>
    <w:rsid w:val="0066048F"/>
    <w:rsid w:val="00663AFA"/>
    <w:rsid w:val="00664DBF"/>
    <w:rsid w:val="00667654"/>
    <w:rsid w:val="006735E6"/>
    <w:rsid w:val="00680252"/>
    <w:rsid w:val="0068672D"/>
    <w:rsid w:val="00686C38"/>
    <w:rsid w:val="006A5E51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970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4578"/>
    <w:rsid w:val="007470C9"/>
    <w:rsid w:val="00751956"/>
    <w:rsid w:val="00764942"/>
    <w:rsid w:val="00766E34"/>
    <w:rsid w:val="0077087E"/>
    <w:rsid w:val="007711F4"/>
    <w:rsid w:val="00774D92"/>
    <w:rsid w:val="00776CAD"/>
    <w:rsid w:val="007913F0"/>
    <w:rsid w:val="007922E8"/>
    <w:rsid w:val="00796DB9"/>
    <w:rsid w:val="007A2E76"/>
    <w:rsid w:val="007A4301"/>
    <w:rsid w:val="007A6BE4"/>
    <w:rsid w:val="007A7660"/>
    <w:rsid w:val="007B01F7"/>
    <w:rsid w:val="007B06F3"/>
    <w:rsid w:val="007B0CE9"/>
    <w:rsid w:val="007B27D3"/>
    <w:rsid w:val="007C706E"/>
    <w:rsid w:val="007D0167"/>
    <w:rsid w:val="007D31C7"/>
    <w:rsid w:val="007D4AD3"/>
    <w:rsid w:val="007D6B40"/>
    <w:rsid w:val="007E0711"/>
    <w:rsid w:val="007E3F81"/>
    <w:rsid w:val="007E7DEC"/>
    <w:rsid w:val="007F1010"/>
    <w:rsid w:val="007F2B74"/>
    <w:rsid w:val="007F410C"/>
    <w:rsid w:val="007F5273"/>
    <w:rsid w:val="007F752B"/>
    <w:rsid w:val="008006C6"/>
    <w:rsid w:val="00803699"/>
    <w:rsid w:val="008047B1"/>
    <w:rsid w:val="00814732"/>
    <w:rsid w:val="008147DA"/>
    <w:rsid w:val="00820371"/>
    <w:rsid w:val="0082178B"/>
    <w:rsid w:val="00824D23"/>
    <w:rsid w:val="00854A09"/>
    <w:rsid w:val="00860417"/>
    <w:rsid w:val="00870C28"/>
    <w:rsid w:val="00872047"/>
    <w:rsid w:val="00872245"/>
    <w:rsid w:val="00875E3F"/>
    <w:rsid w:val="00880D9A"/>
    <w:rsid w:val="00882EA0"/>
    <w:rsid w:val="008848AA"/>
    <w:rsid w:val="00886A8A"/>
    <w:rsid w:val="00887836"/>
    <w:rsid w:val="0089345A"/>
    <w:rsid w:val="0089661F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6725"/>
    <w:rsid w:val="008C7337"/>
    <w:rsid w:val="008C7E04"/>
    <w:rsid w:val="008D3476"/>
    <w:rsid w:val="008D4E8B"/>
    <w:rsid w:val="008D5278"/>
    <w:rsid w:val="008E06A3"/>
    <w:rsid w:val="008F1834"/>
    <w:rsid w:val="008F2C15"/>
    <w:rsid w:val="008F5765"/>
    <w:rsid w:val="0090149D"/>
    <w:rsid w:val="0090237F"/>
    <w:rsid w:val="00902D24"/>
    <w:rsid w:val="00903606"/>
    <w:rsid w:val="00912D90"/>
    <w:rsid w:val="00914EDF"/>
    <w:rsid w:val="00915C2D"/>
    <w:rsid w:val="009168B1"/>
    <w:rsid w:val="00920177"/>
    <w:rsid w:val="009212F4"/>
    <w:rsid w:val="0092134B"/>
    <w:rsid w:val="00923270"/>
    <w:rsid w:val="00924692"/>
    <w:rsid w:val="0092509E"/>
    <w:rsid w:val="009341E3"/>
    <w:rsid w:val="0093535C"/>
    <w:rsid w:val="009404DF"/>
    <w:rsid w:val="00951C78"/>
    <w:rsid w:val="00951DF5"/>
    <w:rsid w:val="00955496"/>
    <w:rsid w:val="00966171"/>
    <w:rsid w:val="009719E9"/>
    <w:rsid w:val="00974E9E"/>
    <w:rsid w:val="00984CC7"/>
    <w:rsid w:val="00991436"/>
    <w:rsid w:val="00997EE5"/>
    <w:rsid w:val="009A4911"/>
    <w:rsid w:val="009A59DF"/>
    <w:rsid w:val="009A5A2D"/>
    <w:rsid w:val="009B25C5"/>
    <w:rsid w:val="009B5E46"/>
    <w:rsid w:val="009C60C0"/>
    <w:rsid w:val="009D07D3"/>
    <w:rsid w:val="009D0D81"/>
    <w:rsid w:val="009D1EAE"/>
    <w:rsid w:val="009D3722"/>
    <w:rsid w:val="009D4446"/>
    <w:rsid w:val="009D4AAD"/>
    <w:rsid w:val="009D4E32"/>
    <w:rsid w:val="009E2996"/>
    <w:rsid w:val="009F4513"/>
    <w:rsid w:val="00A05F13"/>
    <w:rsid w:val="00A15A6B"/>
    <w:rsid w:val="00A211EB"/>
    <w:rsid w:val="00A219BC"/>
    <w:rsid w:val="00A31892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7FF6"/>
    <w:rsid w:val="00A61FB6"/>
    <w:rsid w:val="00A62391"/>
    <w:rsid w:val="00A62BF8"/>
    <w:rsid w:val="00A647FD"/>
    <w:rsid w:val="00A66624"/>
    <w:rsid w:val="00A67E0A"/>
    <w:rsid w:val="00A71AAE"/>
    <w:rsid w:val="00A728FE"/>
    <w:rsid w:val="00A751CD"/>
    <w:rsid w:val="00A7531F"/>
    <w:rsid w:val="00A75652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A150B"/>
    <w:rsid w:val="00AA7F82"/>
    <w:rsid w:val="00AB33BC"/>
    <w:rsid w:val="00AB39B8"/>
    <w:rsid w:val="00AB400E"/>
    <w:rsid w:val="00AC3F5E"/>
    <w:rsid w:val="00AC7772"/>
    <w:rsid w:val="00AD19B7"/>
    <w:rsid w:val="00AD6B2C"/>
    <w:rsid w:val="00AE3780"/>
    <w:rsid w:val="00AE4421"/>
    <w:rsid w:val="00AF2ED0"/>
    <w:rsid w:val="00AF448B"/>
    <w:rsid w:val="00AF6479"/>
    <w:rsid w:val="00B17179"/>
    <w:rsid w:val="00B20CFC"/>
    <w:rsid w:val="00B21900"/>
    <w:rsid w:val="00B22B08"/>
    <w:rsid w:val="00B278FC"/>
    <w:rsid w:val="00B30596"/>
    <w:rsid w:val="00B311A6"/>
    <w:rsid w:val="00B313F8"/>
    <w:rsid w:val="00B34E38"/>
    <w:rsid w:val="00B41471"/>
    <w:rsid w:val="00B42716"/>
    <w:rsid w:val="00B46AE5"/>
    <w:rsid w:val="00B53C88"/>
    <w:rsid w:val="00B54AFA"/>
    <w:rsid w:val="00B60240"/>
    <w:rsid w:val="00B60DFD"/>
    <w:rsid w:val="00B6428A"/>
    <w:rsid w:val="00B652F7"/>
    <w:rsid w:val="00B71322"/>
    <w:rsid w:val="00B72A94"/>
    <w:rsid w:val="00B82373"/>
    <w:rsid w:val="00B83B00"/>
    <w:rsid w:val="00B84E4F"/>
    <w:rsid w:val="00BA0F90"/>
    <w:rsid w:val="00BA2450"/>
    <w:rsid w:val="00BA313A"/>
    <w:rsid w:val="00BA32E0"/>
    <w:rsid w:val="00BB13B8"/>
    <w:rsid w:val="00BB31D9"/>
    <w:rsid w:val="00BC4736"/>
    <w:rsid w:val="00BC5950"/>
    <w:rsid w:val="00BD1C05"/>
    <w:rsid w:val="00BE0213"/>
    <w:rsid w:val="00BF1C58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788F"/>
    <w:rsid w:val="00CB005F"/>
    <w:rsid w:val="00CB6037"/>
    <w:rsid w:val="00CB6A36"/>
    <w:rsid w:val="00CC2249"/>
    <w:rsid w:val="00CC61E5"/>
    <w:rsid w:val="00CC67DD"/>
    <w:rsid w:val="00CC732A"/>
    <w:rsid w:val="00CC77B8"/>
    <w:rsid w:val="00CE0AC2"/>
    <w:rsid w:val="00CE5D77"/>
    <w:rsid w:val="00CF37A0"/>
    <w:rsid w:val="00CF6A9D"/>
    <w:rsid w:val="00D03D4E"/>
    <w:rsid w:val="00D054D8"/>
    <w:rsid w:val="00D10904"/>
    <w:rsid w:val="00D23346"/>
    <w:rsid w:val="00D2392E"/>
    <w:rsid w:val="00D25E30"/>
    <w:rsid w:val="00D33B86"/>
    <w:rsid w:val="00D37CAD"/>
    <w:rsid w:val="00D4284D"/>
    <w:rsid w:val="00D42C72"/>
    <w:rsid w:val="00D438A3"/>
    <w:rsid w:val="00D458B7"/>
    <w:rsid w:val="00D56F88"/>
    <w:rsid w:val="00D6121E"/>
    <w:rsid w:val="00D63822"/>
    <w:rsid w:val="00D77A1E"/>
    <w:rsid w:val="00D905ED"/>
    <w:rsid w:val="00D92DC1"/>
    <w:rsid w:val="00D938CA"/>
    <w:rsid w:val="00D9523C"/>
    <w:rsid w:val="00D9622B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1DD3"/>
    <w:rsid w:val="00DD278E"/>
    <w:rsid w:val="00DD4C65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13C2"/>
    <w:rsid w:val="00E24048"/>
    <w:rsid w:val="00E24A65"/>
    <w:rsid w:val="00E309D5"/>
    <w:rsid w:val="00E42E45"/>
    <w:rsid w:val="00E43DA7"/>
    <w:rsid w:val="00E44562"/>
    <w:rsid w:val="00E459C1"/>
    <w:rsid w:val="00E5130B"/>
    <w:rsid w:val="00E51830"/>
    <w:rsid w:val="00E607E5"/>
    <w:rsid w:val="00E6431F"/>
    <w:rsid w:val="00E73C1F"/>
    <w:rsid w:val="00E77771"/>
    <w:rsid w:val="00E85CB4"/>
    <w:rsid w:val="00EA29D2"/>
    <w:rsid w:val="00EB6256"/>
    <w:rsid w:val="00EB77CA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55B0"/>
    <w:rsid w:val="00F13C5A"/>
    <w:rsid w:val="00F14477"/>
    <w:rsid w:val="00F16DDD"/>
    <w:rsid w:val="00F22759"/>
    <w:rsid w:val="00F23E80"/>
    <w:rsid w:val="00F242C0"/>
    <w:rsid w:val="00F31B8E"/>
    <w:rsid w:val="00F37FB1"/>
    <w:rsid w:val="00F4176D"/>
    <w:rsid w:val="00F42D5A"/>
    <w:rsid w:val="00F6130F"/>
    <w:rsid w:val="00F6301E"/>
    <w:rsid w:val="00F74CE0"/>
    <w:rsid w:val="00F759A9"/>
    <w:rsid w:val="00F82348"/>
    <w:rsid w:val="00F83E56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6FE3"/>
    <w:rsid w:val="00FE1E43"/>
    <w:rsid w:val="00FE2EF7"/>
    <w:rsid w:val="00FF06B3"/>
    <w:rsid w:val="00FF4E6C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autoRedefine/>
    <w:uiPriority w:val="99"/>
    <w:qFormat/>
    <w:locked/>
    <w:rsid w:val="00CC732A"/>
    <w:pPr>
      <w:keepNext/>
      <w:spacing w:before="200" w:line="260" w:lineRule="atLeas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0F3C7D"/>
    <w:pPr>
      <w:tabs>
        <w:tab w:val="left" w:pos="1440"/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9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autoRedefine/>
    <w:uiPriority w:val="99"/>
    <w:qFormat/>
    <w:locked/>
    <w:rsid w:val="00CC732A"/>
    <w:pPr>
      <w:keepNext/>
      <w:spacing w:before="200" w:line="260" w:lineRule="atLeas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0F3C7D"/>
    <w:pPr>
      <w:tabs>
        <w:tab w:val="left" w:pos="1440"/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9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435A-1FA6-4D04-BBE3-33D20C9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11860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2</cp:revision>
  <cp:lastPrinted>2014-01-06T17:17:00Z</cp:lastPrinted>
  <dcterms:created xsi:type="dcterms:W3CDTF">2014-03-21T16:55:00Z</dcterms:created>
  <dcterms:modified xsi:type="dcterms:W3CDTF">2014-03-21T16:55:00Z</dcterms:modified>
</cp:coreProperties>
</file>